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победе и поражении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2025-05-04</w:t>
      </w:r>
    </w:p>
    <w:p>
      <w:pPr/>
      <w:r>
        <w:t>1 мин. на чтение</w:t>
      </w:r>
    </w:p>
    <w:p/>
    <w:p>
      <w:r>
        <w:rPr>
          <w:i/>
        </w:rPr>
        <w:t xml:space="preserve">«Наша сила - полная ясность и трезвость учета всех наличных классовых величин, и русских и международных, а затем проистекающая отсюда железная энергия, твердость, решительность и беззаветность борьбы. </w:t>
      </w:r>
      <w:r>
        <w:rPr>
          <w:i/>
        </w:rPr>
        <w:br/>
      </w:r>
      <w:r>
        <w:rPr>
          <w:i/>
        </w:rPr>
        <w:br/>
      </w:r>
      <w:r>
        <w:rPr>
          <w:i/>
        </w:rPr>
        <w:t xml:space="preserve">Врагов у нас много, но они разъединены, или не знают, чего хотят (как все мелкие буржуа, все Мартовы и Черновы, все беспартийные, все анархисты). А мы объединены - прямо меж собой и косвенно с пролетариями всех стран; мы знаем, чего мы хотим. </w:t>
      </w:r>
      <w:r>
        <w:rPr>
          <w:i/>
        </w:rPr>
        <w:br/>
      </w:r>
      <w:r>
        <w:rPr>
          <w:i/>
        </w:rPr>
        <w:br/>
      </w:r>
      <w:r>
        <w:rPr>
          <w:i/>
        </w:rPr>
        <w:t>И потому мы непобедимы в мировом масштабе, хотя этим нисколько не исключается возможность поражения отдельных пролетарских революций на то или другое время».</w:t>
      </w:r>
      <w:r>
        <w:br/>
      </w:r>
      <w:r>
        <w:br/>
      </w:r>
      <w:r>
        <w:rPr>
          <w:b/>
        </w:rPr>
        <w:t>В.И.Ленин</w:t>
      </w:r>
      <w:r>
        <w:t>, ПСС изд.5 т.9 с.201-204 «О продовольственном налоге»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nin-o-pobiedie-i-porazhienii-rievoliut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