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Росстат внедрил международный метод оценки бедности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2025-01-21</w:t>
      </w:r>
    </w:p>
    <w:p>
      <w:pPr/>
      <w:r>
        <w:t>3 мин. на чтение</w:t>
      </w:r>
    </w:p>
    <w:p/>
    <w:p>
      <w:r>
        <w:t>Росстат впервые оценил бедность не по уровню дохода на человека, а "во всех ее проявлениях" [</w:t>
      </w:r>
      <w:hyperlink r:id="rId11">
        <w:r>
          <w:rPr>
            <w:color w:val="0000FF"/>
            <w:u w:val="single"/>
          </w:rPr>
          <w:t>1</w:t>
        </w:r>
      </w:hyperlink>
      <w:r>
        <w:t xml:space="preserve">], используя международный метод. Теперь для определения бедности учитываются следующие критерии: это уровень дохода, материальные лишения и низкий уровень занятости. Ранее в подсчетах использовался только уровень дохода. </w:t>
      </w:r>
    </w:p>
    <w:p>
      <w:r>
        <w:t>Если при пересчете на всех членов семьи доход был ниже прожиточного минимума, который в среднем в 2024 году составил 15679 рублей [</w:t>
      </w:r>
      <w:hyperlink r:id="rId12">
        <w:r>
          <w:rPr>
            <w:color w:val="0000FF"/>
            <w:u w:val="single"/>
          </w:rPr>
          <w:t>2</w:t>
        </w:r>
      </w:hyperlink>
      <w:r>
        <w:t>], семья считалась бедной и могла претендовать на ряд льгот. По данным показателям бедными в 2024 году были признаны 8% населения или около 11,6 млн. граждан страны [</w:t>
      </w:r>
      <w:hyperlink r:id="rId12">
        <w:r>
          <w:rPr>
            <w:color w:val="0000FF"/>
            <w:u w:val="single"/>
          </w:rPr>
          <w:t>2</w:t>
        </w:r>
      </w:hyperlink>
      <w:r>
        <w:t xml:space="preserve">]. </w:t>
      </w:r>
    </w:p>
    <w:p>
      <w:r>
        <w:t>По новым показателям Росстат сделал расчеты только по периоду 2020-2022 года, в результате бедными по всем трем показателям оказались только 4,4% населения в 2022 году [</w:t>
      </w:r>
      <w:hyperlink r:id="rId11">
        <w:r>
          <w:rPr>
            <w:color w:val="0000FF"/>
            <w:u w:val="single"/>
          </w:rPr>
          <w:t>1</w:t>
        </w:r>
      </w:hyperlink>
      <w:r>
        <w:t>]. На бумаге это выглядит гораздо оптимистичнее, чем 8% в 2024 году, учитывая, что по данным Росстата тенденция идет к снижению бедности. Данные за 2024 год обещают выложить уже в этом году и, вероятно, цифры будут ниже, чем при подсчете по старой системе, ведь теперь требуется больше факторов, чтобы считаться бедным.</w:t>
      </w:r>
    </w:p>
    <w:p>
      <w:r>
        <w:t>Первый фактор бедности – это по-прежнему доход. При этом среди молодых россиян доля малоимущих только с низким доходом значительно выше, чем среди пожилых [</w:t>
      </w:r>
      <w:hyperlink r:id="rId11">
        <w:r>
          <w:rPr>
            <w:color w:val="0000FF"/>
            <w:u w:val="single"/>
          </w:rPr>
          <w:t>1</w:t>
        </w:r>
      </w:hyperlink>
      <w:r>
        <w:t>]. Закономерно, что в результате Росстат регулярно отчитывается о снижении рождаемости в России [</w:t>
      </w:r>
      <w:hyperlink r:id="rId13">
        <w:r>
          <w:rPr>
            <w:color w:val="0000FF"/>
            <w:u w:val="single"/>
          </w:rPr>
          <w:t>3</w:t>
        </w:r>
      </w:hyperlink>
      <w:r>
        <w:t xml:space="preserve">], ведь рождение детей тяжким грузом ложится на финансовую стабильность молодых родителей. </w:t>
      </w:r>
    </w:p>
    <w:p>
      <w:r>
        <w:t xml:space="preserve">И пока депутаты упражняются в оригинальности методов повышения рождаемости в стране, даже </w:t>
      </w:r>
      <w:hyperlink r:id="rId14">
        <w:r>
          <w:rPr>
            <w:color w:val="0000FF"/>
            <w:u w:val="single"/>
          </w:rPr>
          <w:t>президент</w:t>
        </w:r>
      </w:hyperlink>
      <w:r>
        <w:t xml:space="preserve"> подчеркивает, что невысокие доходы многодетных семей сегодня являются наиболее острой проблемой. И </w:t>
      </w:r>
      <w:hyperlink r:id="rId15">
        <w:r>
          <w:rPr>
            <w:color w:val="0000FF"/>
            <w:u w:val="single"/>
          </w:rPr>
          <w:t>катастрофическая демографическая</w:t>
        </w:r>
      </w:hyperlink>
      <w:r>
        <w:t xml:space="preserve"> ситуация вызвана в том числе низкими доходами населения.</w:t>
      </w:r>
    </w:p>
    <w:p>
      <w:r>
        <w:t xml:space="preserve">Второй фактор бедности – это так называемые материальные лишения, когда человек не может себе позволить хотя бы четыре пункта из девяти заявленных необходимых благ для "достойного уровня жизни". Среди них возможность погасить задолженность, хотя бы неделю отпуска проводить вне дома, питаться мясом, птицей или рыбой раз в 2 дня, содержать дом в тепле, приобрести телефон, телевизор, стиральную машинку или личный автомобиль. </w:t>
      </w:r>
    </w:p>
    <w:p>
      <w:r>
        <w:t>Последний пункт выглядит особенно печально, учитывая резкий рост цен даже на автомобили отечественного производства. Автоваз уже отчитался о повышении цен, теперь за новую Ладу Гранту нужно будет выложить около 1,3 миллиона рублей [</w:t>
      </w:r>
      <w:hyperlink r:id="rId16">
        <w:r>
          <w:rPr>
            <w:color w:val="0000FF"/>
            <w:u w:val="single"/>
          </w:rPr>
          <w:t>6</w:t>
        </w:r>
      </w:hyperlink>
      <w:r>
        <w:t xml:space="preserve">]. При этом для определения в статистику бедных человеку должны быть недоступны минимум 4 пункта, а не один. </w:t>
      </w:r>
    </w:p>
    <w:p>
      <w:r>
        <w:t xml:space="preserve">Третий фактор – это низкая интенсивность занятости, когда человек работает менее 20% от своего трудового потенциала. Это должно, по мнению статистиков, помочь разобраться в самой структуре бедности, понять ее причину и найти более комплексный подход к решению данной проблемы. Только маловероятно, что "прогрессивные" подходы к сбору статистических данных о бедности помогут ее ликвидировать. </w:t>
      </w:r>
    </w:p>
    <w:p>
      <w:r>
        <w:t xml:space="preserve">Бедность большинства или же социальное неравенство является прямым следствием рыночной экономики. Частная собственность делает “избранных” с каждым годом всё богаче, она предоставляет возможность присваивать результаты чужого труда, забирать природные богатства в свою пользу. При этом бедные становятся еще беднее: финансовый разрыв с олигархами постоянно </w:t>
      </w:r>
      <w:hyperlink r:id="rId17">
        <w:r>
          <w:rPr>
            <w:color w:val="0000FF"/>
            <w:u w:val="single"/>
          </w:rPr>
          <w:t>увеличивается</w:t>
        </w:r>
      </w:hyperlink>
      <w:r>
        <w:t xml:space="preserve">. Благодаря техническому прогрессу иногда создается впечатление, что жить становится удобнее и лучше, как правило, это происходит в фазе подъема экономики. </w:t>
      </w:r>
    </w:p>
    <w:p>
      <w:r>
        <w:t xml:space="preserve">Но подъем заканчивается и наступает кризис, который не является сюрпризом, он необходимое условие существование рынка. В условиях, когда производство увеличивается, но спрос на товары может не расти с той же скоростью, возникает избыток продукции. </w:t>
      </w:r>
    </w:p>
    <w:p>
      <w:r>
        <w:t xml:space="preserve">Это приводит к кризисам перепроизводства, которые являются неотъемлемой частью рыночной системы. И это только одна из причин. В период кризиса происходят массовые сокращения, дельцы поднимают цены, жилье становится недоступным. От кризисов страдают в первую очередь простые трудящиеся. </w:t>
      </w:r>
    </w:p>
    <w:p>
      <w:r>
        <w:t>У предпринимателей есть существенные накопления, которые они могут спокойно "проедать" в условиях кризиса, но у простых людей, как правило, их нет. Однако даже мелкие и средние предприниматели в условиях кризиса могут разориться и пополнить ряды наёмных работников. Поэтому неудивительно, что несмотря на технический прогресс, который должен делать жизнь людей лучше и проще, её уровень в целом снижается.</w:t>
      </w:r>
    </w:p>
    <w:p>
      <w:r>
        <w:t>И так будет продолжаться, пока существует рыночная экономика, при которой только богатые становятся богаче и изобретают новые методы подсчета благосостояния. Официальными результатами буржуазная статистика сбивает с толку стремительно беднеющее трудящееся население страны, пытается убедить их, что они живут неплохо. Лишь бы и дальше сохранялся такой “порядок”, при котором капиталы олигархов продолжали расти, а их власть оставалась незыблемой.</w:t>
      </w:r>
    </w:p>
    <w:p/>
    <w:p>
      <w:r>
        <w:t>Источники:</w:t>
      </w:r>
    </w:p>
    <w:p>
      <w:r>
        <w:t xml:space="preserve">[1] РБК </w:t>
      </w:r>
      <w:hyperlink r:id="rId11">
        <w:r>
          <w:rPr>
            <w:color w:val="0000FF"/>
            <w:u w:val="single"/>
          </w:rPr>
          <w:t>"Росстат впервые оценил бедность «во всех ее проявлениях» Как новый показатель повлияет на социальную политику"</w:t>
        </w:r>
      </w:hyperlink>
      <w:r>
        <w:t xml:space="preserve"> от 28.12.2024 г.</w:t>
      </w:r>
    </w:p>
    <w:p>
      <w:r>
        <w:t xml:space="preserve">[2] Новости Росстата </w:t>
      </w:r>
      <w:hyperlink r:id="rId12">
        <w:r>
          <w:rPr>
            <w:color w:val="0000FF"/>
            <w:u w:val="single"/>
          </w:rPr>
          <w:t>"Росстат представляет данные о численности населения с денежными доходами ниже границы бедности в III квартале 2024 года"</w:t>
        </w:r>
      </w:hyperlink>
      <w:r>
        <w:t xml:space="preserve"> от 11 декабря 2024 г. </w:t>
      </w:r>
    </w:p>
    <w:p>
      <w:r>
        <w:t xml:space="preserve">[3] РБК </w:t>
      </w:r>
      <w:hyperlink r:id="rId13">
        <w:r>
          <w:rPr>
            <w:color w:val="0000FF"/>
            <w:u w:val="single"/>
          </w:rPr>
          <w:t>"Росстат отчитался о снижении рождаемости в первом квартале"</w:t>
        </w:r>
      </w:hyperlink>
      <w:r>
        <w:t xml:space="preserve"> от 8 мая 2024 г.</w:t>
      </w:r>
    </w:p>
    <w:p>
      <w:r>
        <w:t xml:space="preserve">[4] ТАСС </w:t>
      </w:r>
      <w:hyperlink r:id="rId14">
        <w:r>
          <w:rPr>
            <w:color w:val="0000FF"/>
            <w:u w:val="single"/>
          </w:rPr>
          <w:t>"Путин назвал невысокие доходы многодетных семей наиболее острой проблемой"</w:t>
        </w:r>
      </w:hyperlink>
      <w:r>
        <w:t xml:space="preserve"> от 29 февраля 2024 г</w:t>
      </w:r>
    </w:p>
    <w:p>
      <w:r>
        <w:t xml:space="preserve">[5] Политштурм </w:t>
      </w:r>
      <w:hyperlink r:id="rId15">
        <w:r>
          <w:rPr>
            <w:color w:val="0000FF"/>
            <w:u w:val="single"/>
          </w:rPr>
          <w:t>"Почему Россия вымирает?"</w:t>
        </w:r>
      </w:hyperlink>
      <w:r>
        <w:t xml:space="preserve"> от 18 августа 2024 г.</w:t>
      </w:r>
    </w:p>
    <w:p>
      <w:r>
        <w:t xml:space="preserve">[6] РБК </w:t>
      </w:r>
      <w:hyperlink r:id="rId16">
        <w:r>
          <w:rPr>
            <w:color w:val="0000FF"/>
            <w:u w:val="single"/>
          </w:rPr>
          <w:t>"АвтоВАЗ сообщил о повышении цен на машины"</w:t>
        </w:r>
      </w:hyperlink>
      <w:r>
        <w:t xml:space="preserve"> от 14 января 2025 г.</w:t>
      </w:r>
    </w:p>
    <w:p>
      <w:r>
        <w:t xml:space="preserve">[7] Комсомольская правда </w:t>
      </w:r>
      <w:hyperlink r:id="rId17">
        <w:r>
          <w:rPr>
            <w:color w:val="0000FF"/>
            <w:u w:val="single"/>
          </w:rPr>
          <w:t>"Пропасть между богатыми и бедными в мире выросла катастрофически"</w:t>
        </w:r>
      </w:hyperlink>
      <w:r>
        <w:t xml:space="preserve"> от 18 января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tat-vniedril-miezhdunarodnyi-mietod-otsienki-biednosti" TargetMode="External"/><Relationship Id="rId11" Type="http://schemas.openxmlformats.org/officeDocument/2006/relationships/hyperlink" Target="https://www.rbc.ru/economics/28/12/2024/676fba119a794701ae55d64b?from=share_footer" TargetMode="External"/><Relationship Id="rId12" Type="http://schemas.openxmlformats.org/officeDocument/2006/relationships/hyperlink" Target="https://rosstat.gov.ru/folder/313/document/250335" TargetMode="External"/><Relationship Id="rId13" Type="http://schemas.openxmlformats.org/officeDocument/2006/relationships/hyperlink" Target="https://www.rbc.ru/economics/08/05/2024/663ba14f9a79473027445da4" TargetMode="External"/><Relationship Id="rId14" Type="http://schemas.openxmlformats.org/officeDocument/2006/relationships/hyperlink" Target="https://tass.ru/obschestvo/20115025" TargetMode="External"/><Relationship Id="rId15" Type="http://schemas.openxmlformats.org/officeDocument/2006/relationships/hyperlink" Target="https://politsturm.com/pochiemu-rossiia-vymiraiet" TargetMode="External"/><Relationship Id="rId16" Type="http://schemas.openxmlformats.org/officeDocument/2006/relationships/hyperlink" Target="https://www.rbc.ru/technology_and_media/14/01/2025/67860cae9a7947bb6723ad76" TargetMode="External"/><Relationship Id="rId17" Type="http://schemas.openxmlformats.org/officeDocument/2006/relationships/hyperlink" Target="https://www.kp.ru/daily/27454/4707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